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b/>
          <w:bCs/>
          <w:color w:val="FF0000"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687070</wp:posOffset>
            </wp:positionV>
            <wp:extent cx="1157605" cy="381635"/>
            <wp:effectExtent l="0" t="0" r="4445" b="18415"/>
            <wp:wrapNone/>
            <wp:docPr id="2" name="图片 2" descr="15603051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030518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910" cy="680720"/>
            <wp:effectExtent l="0" t="0" r="15240" b="5080"/>
            <wp:docPr id="1" name="图片 1" descr="公司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司标志"/>
                    <pic:cNvPicPr>
                      <a:picLocks noChangeAspect="1"/>
                    </pic:cNvPicPr>
                  </pic:nvPicPr>
                  <pic:blipFill>
                    <a:blip r:embed="rId8"/>
                    <a:srcRect l="18984" t="17742" r="15112" b="2542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spacing w:line="720" w:lineRule="auto"/>
        <w:jc w:val="center"/>
        <w:rPr>
          <w:rFonts w:hint="eastAsia" w:ascii="华文中宋" w:hAnsi="华文中宋" w:eastAsia="华文中宋"/>
          <w:sz w:val="84"/>
          <w:szCs w:val="84"/>
          <w:lang w:eastAsia="zh-CN"/>
        </w:rPr>
      </w:pPr>
      <w:r>
        <w:rPr>
          <w:rFonts w:hint="eastAsia" w:ascii="华文中宋" w:hAnsi="华文中宋" w:eastAsia="华文中宋"/>
          <w:sz w:val="84"/>
          <w:szCs w:val="84"/>
          <w:lang w:val="en-US" w:eastAsia="zh-CN"/>
        </w:rPr>
        <w:t>TPM</w:t>
      </w:r>
      <w:r>
        <w:rPr>
          <w:rFonts w:hint="eastAsia" w:ascii="华文中宋" w:hAnsi="华文中宋" w:eastAsia="华文中宋"/>
          <w:sz w:val="84"/>
          <w:szCs w:val="84"/>
        </w:rPr>
        <w:t>防水</w:t>
      </w:r>
      <w:r>
        <w:rPr>
          <w:rFonts w:hint="eastAsia" w:ascii="华文中宋" w:hAnsi="华文中宋" w:eastAsia="华文中宋"/>
          <w:sz w:val="84"/>
          <w:szCs w:val="84"/>
          <w:lang w:eastAsia="zh-CN"/>
        </w:rPr>
        <w:t>施工方案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color w:val="FF0000"/>
          <w:sz w:val="30"/>
          <w:szCs w:val="30"/>
          <w:lang w:eastAsia="zh-CN"/>
        </w:rPr>
      </w:pPr>
    </w:p>
    <w:p>
      <w:pPr>
        <w:rPr>
          <w:rFonts w:hint="eastAsia"/>
          <w:b/>
          <w:bCs/>
          <w:color w:val="FF0000"/>
          <w:sz w:val="30"/>
          <w:szCs w:val="30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t>辽宁东禹防水材料有限公司</w:t>
      </w:r>
    </w:p>
    <w:p>
      <w:pPr>
        <w:jc w:val="both"/>
        <w:rPr>
          <w:rFonts w:hint="eastAsia" w:ascii="微软雅黑" w:hAnsi="微软雅黑" w:eastAsia="微软雅黑"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/>
          <w:sz w:val="32"/>
          <w:szCs w:val="32"/>
        </w:rPr>
        <w:sectPr>
          <w:headerReference r:id="rId4" w:type="first"/>
          <w:headerReference r:id="rId3" w:type="default"/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/>
          <w:sz w:val="32"/>
          <w:szCs w:val="32"/>
        </w:rPr>
        <w:t>二〇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二〇</w:t>
      </w:r>
      <w:r>
        <w:rPr>
          <w:rFonts w:hint="eastAsia" w:ascii="微软雅黑" w:hAnsi="微软雅黑" w:eastAsia="微软雅黑"/>
          <w:sz w:val="32"/>
          <w:szCs w:val="32"/>
        </w:rPr>
        <w:t>年</w:t>
      </w:r>
    </w:p>
    <w:tbl>
      <w:tblPr>
        <w:tblStyle w:val="10"/>
        <w:tblW w:w="103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3670"/>
        <w:gridCol w:w="1491"/>
        <w:gridCol w:w="36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514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工程名称</w:t>
            </w:r>
          </w:p>
        </w:tc>
        <w:tc>
          <w:tcPr>
            <w:tcW w:w="3670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Theme="minorEastAsia"/>
                <w:szCs w:val="28"/>
                <w:lang w:eastAsia="zh-CN"/>
              </w:rPr>
            </w:pPr>
          </w:p>
        </w:tc>
        <w:tc>
          <w:tcPr>
            <w:tcW w:w="1491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</w:rPr>
            </w:pPr>
            <w:r>
              <w:rPr>
                <w:rFonts w:hint="eastAsia"/>
                <w:szCs w:val="28"/>
              </w:rPr>
              <w:t>施工单位</w:t>
            </w:r>
          </w:p>
        </w:tc>
        <w:tc>
          <w:tcPr>
            <w:tcW w:w="3687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  <w:lang w:eastAsia="zh-CN"/>
              </w:rPr>
            </w:pPr>
            <w:r>
              <w:rPr>
                <w:rFonts w:hint="eastAsia" w:eastAsia="宋体"/>
                <w:szCs w:val="28"/>
                <w:lang w:eastAsia="zh-CN"/>
              </w:rPr>
              <w:t>辽宁东禹防水工程有限公司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514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</w:rPr>
            </w:pPr>
            <w:r>
              <w:rPr>
                <w:rFonts w:hint="eastAsia"/>
                <w:szCs w:val="28"/>
              </w:rPr>
              <w:t>交底部位</w:t>
            </w:r>
          </w:p>
        </w:tc>
        <w:tc>
          <w:tcPr>
            <w:tcW w:w="3670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  <w:lang w:eastAsia="zh-CN"/>
              </w:rPr>
            </w:pPr>
            <w:r>
              <w:rPr>
                <w:rFonts w:hint="eastAsia" w:eastAsia="宋体"/>
                <w:szCs w:val="28"/>
                <w:lang w:eastAsia="zh-CN"/>
              </w:rPr>
              <w:t>屋面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</w:rPr>
            </w:pPr>
            <w:r>
              <w:rPr>
                <w:rFonts w:hint="eastAsia" w:eastAsia="宋体"/>
                <w:szCs w:val="28"/>
              </w:rPr>
              <w:t>工序名称</w:t>
            </w:r>
          </w:p>
        </w:tc>
        <w:tc>
          <w:tcPr>
            <w:tcW w:w="3687" w:type="dxa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</w:rPr>
            </w:pPr>
            <w:r>
              <w:rPr>
                <w:rFonts w:hint="eastAsia"/>
                <w:szCs w:val="28"/>
              </w:rPr>
              <w:t>防水工程施工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0362" w:type="dxa"/>
            <w:gridSpan w:val="4"/>
            <w:noWrap w:val="0"/>
            <w:vAlign w:val="center"/>
          </w:tcPr>
          <w:p>
            <w:pPr>
              <w:tabs>
                <w:tab w:val="left" w:pos="480"/>
                <w:tab w:val="left" w:pos="960"/>
              </w:tabs>
              <w:spacing w:line="500" w:lineRule="exact"/>
              <w:jc w:val="center"/>
              <w:rPr>
                <w:rFonts w:hint="eastAsia" w:eastAsia="宋体"/>
                <w:szCs w:val="28"/>
                <w:lang w:val="en-US" w:eastAsia="zh-CN"/>
              </w:rPr>
            </w:pPr>
            <w:r>
              <w:rPr>
                <w:rFonts w:hint="eastAsia"/>
                <w:szCs w:val="28"/>
              </w:rPr>
              <w:t>交底摘要：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TPM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反应粘防水卷材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+水泥基渗透结晶</w:t>
            </w:r>
          </w:p>
        </w:tc>
      </w:tr>
    </w:tbl>
    <w:p>
      <w:pPr>
        <w:pStyle w:val="8"/>
        <w:keepNext w:val="0"/>
        <w:keepLines w:val="0"/>
        <w:pageBreakBefore w:val="0"/>
        <w:kinsoku/>
        <w:wordWrap/>
        <w:overflowPunct/>
        <w:topLinePunct w:val="0"/>
        <w:bidi w:val="0"/>
        <w:spacing w:before="120" w:beforeLines="50" w:after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Toc23620"/>
      <w:bookmarkStart w:id="1" w:name="_Toc14768"/>
      <w:r>
        <w:rPr>
          <w:rFonts w:hint="eastAsia" w:ascii="宋体" w:hAnsi="宋体" w:eastAsia="宋体" w:cs="宋体"/>
          <w:sz w:val="24"/>
          <w:szCs w:val="24"/>
        </w:rPr>
        <w:t>一、编制依据</w:t>
      </w:r>
      <w:bookmarkEnd w:id="0"/>
      <w:bookmarkEnd w:id="1"/>
    </w:p>
    <w:tbl>
      <w:tblPr>
        <w:tblStyle w:val="11"/>
        <w:tblW w:w="0" w:type="auto"/>
        <w:tblInd w:w="6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7"/>
        <w:gridCol w:w="2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/>
              </w:rPr>
            </w:pPr>
            <w:bookmarkStart w:id="2" w:name="_Toc28177"/>
            <w:bookmarkStart w:id="3" w:name="_Toc367535152"/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《屋面工程防水技术规范》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righ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GB50345-2012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 xml:space="preserve">《湿铺防水卷材》 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right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GB/T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35467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-20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 xml:space="preserve">《水泥基渗透结晶型防水材料》    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righ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GB18445-2012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 xml:space="preserve">《屋面工程质量验收规范》   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/>
              <w:jc w:val="righ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 xml:space="preserve"> GB50207-2012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right="0" w:right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" w:name="_Toc19760"/>
      <w:r>
        <w:rPr>
          <w:rFonts w:hint="eastAsia" w:ascii="宋体" w:hAnsi="宋体" w:eastAsia="宋体" w:cs="宋体"/>
          <w:b/>
          <w:bCs/>
          <w:sz w:val="24"/>
          <w:szCs w:val="24"/>
        </w:rPr>
        <w:t>二、防水材料</w:t>
      </w:r>
      <w:bookmarkEnd w:id="2"/>
      <w:bookmarkEnd w:id="4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选用表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9"/>
        <w:gridCol w:w="240"/>
        <w:gridCol w:w="5894"/>
        <w:gridCol w:w="2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14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部位</w:t>
            </w:r>
          </w:p>
        </w:tc>
        <w:tc>
          <w:tcPr>
            <w:tcW w:w="6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材料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防水等级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4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屋面</w:t>
            </w:r>
          </w:p>
        </w:tc>
        <w:tc>
          <w:tcPr>
            <w:tcW w:w="240" w:type="dxa"/>
            <w:tcBorders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right="0" w:rightChars="0" w:firstLine="960" w:firstLineChars="4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894" w:type="dxa"/>
            <w:tcBorders>
              <w:lef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4"/>
                <w:szCs w:val="24"/>
                <w:vertAlign w:val="baseline"/>
                <w:lang w:val="en-US" w:eastAsia="zh-CN"/>
              </w:rPr>
              <w:t>1.5mm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TPM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反应粘防水卷材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（双面）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水泥基渗透结晶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一级设防</w:t>
            </w:r>
          </w:p>
        </w:tc>
      </w:tr>
    </w:tbl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pacing w:before="120" w:beforeLines="50" w:after="0" w:line="240" w:lineRule="auto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bookmarkStart w:id="5" w:name="_Toc4294"/>
      <w:bookmarkStart w:id="6" w:name="_Toc15495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三、施工准备</w:t>
      </w:r>
      <w:bookmarkEnd w:id="3"/>
      <w:bookmarkEnd w:id="5"/>
      <w:bookmarkEnd w:id="6"/>
      <w:bookmarkStart w:id="7" w:name="_Toc361645075"/>
      <w:bookmarkStart w:id="8" w:name="_Toc362702542"/>
      <w:bookmarkStart w:id="9" w:name="_Toc36753515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left="0" w:leftChars="0" w:right="0" w:rightChars="0" w:firstLine="241" w:firstLineChars="100"/>
        <w:jc w:val="both"/>
        <w:textAlignment w:val="auto"/>
        <w:outlineLvl w:val="2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1. 基层要求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1.1 铺贴防水层的基层表面，应达到设计要求的强度并验收合格。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1.2 结构层达到表面平整及坚实时可不做找平处理，如有翻砂或麻面质量情况需找平处理。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1.3 阴阳转角部位、管根、预埋件等节点部位应用水泥砂浆抹成半径50mm的圆弧。基层表面如有残留的砂浆硬块及突出钢筋头，应铲除打磨干净。</w:t>
      </w:r>
    </w:p>
    <w:p>
      <w:pPr>
        <w:spacing w:line="440" w:lineRule="exact"/>
        <w:ind w:firstLine="240" w:firstLineChars="1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1.4</w:t>
      </w:r>
      <w:r>
        <w:rPr>
          <w:rFonts w:hint="eastAsia" w:ascii="宋体" w:hAnsi="宋体"/>
          <w:sz w:val="24"/>
          <w:szCs w:val="24"/>
        </w:rPr>
        <w:t>基层应具有足够的强度，坚实、牢固。</w:t>
      </w:r>
    </w:p>
    <w:p>
      <w:pPr>
        <w:spacing w:line="440" w:lineRule="exact"/>
        <w:ind w:firstLine="240" w:firstLineChars="1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1.5</w:t>
      </w:r>
      <w:r>
        <w:rPr>
          <w:rFonts w:hint="eastAsia" w:ascii="宋体" w:hAnsi="宋体"/>
          <w:sz w:val="24"/>
          <w:szCs w:val="24"/>
        </w:rPr>
        <w:t>基层与突出屋面结构的交接处和基层转角处，均应做成圆弧，且整齐平顺。（圆弧半径50～100mm）。</w:t>
      </w:r>
    </w:p>
    <w:p>
      <w:pPr>
        <w:spacing w:line="440" w:lineRule="exact"/>
        <w:ind w:firstLine="240" w:firstLineChars="1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1.6</w:t>
      </w:r>
      <w:r>
        <w:rPr>
          <w:rFonts w:hint="eastAsia" w:ascii="宋体" w:hAnsi="宋体"/>
          <w:sz w:val="24"/>
          <w:szCs w:val="24"/>
        </w:rPr>
        <w:t>水泥砂浆找平层应平整、压光、不得有酥松、起砂、起皮等现象。</w:t>
      </w:r>
    </w:p>
    <w:p>
      <w:pPr>
        <w:spacing w:line="440" w:lineRule="exact"/>
        <w:ind w:firstLine="240" w:firstLineChars="1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1.7</w:t>
      </w:r>
      <w:r>
        <w:rPr>
          <w:rFonts w:hint="eastAsia" w:ascii="宋体" w:hAnsi="宋体"/>
          <w:sz w:val="24"/>
          <w:szCs w:val="24"/>
        </w:rPr>
        <w:t>不得有明显凹凸、松动、鼓包、裂缝、麻面等现象。</w:t>
      </w:r>
    </w:p>
    <w:p>
      <w:pPr>
        <w:spacing w:line="440" w:lineRule="exact"/>
        <w:ind w:firstLine="240" w:firstLineChars="1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1.8</w:t>
      </w:r>
      <w:r>
        <w:rPr>
          <w:rFonts w:hint="eastAsia" w:ascii="宋体" w:hAnsi="宋体"/>
          <w:sz w:val="24"/>
          <w:szCs w:val="24"/>
        </w:rPr>
        <w:t>平整度应用2</w:t>
      </w:r>
      <w:r>
        <w:rPr>
          <w:rFonts w:ascii="宋体" w:hAnsi="宋体"/>
          <w:sz w:val="24"/>
          <w:szCs w:val="24"/>
        </w:rPr>
        <w:t>m</w:t>
      </w:r>
      <w:r>
        <w:rPr>
          <w:rFonts w:hint="eastAsia" w:ascii="宋体" w:hAnsi="宋体"/>
          <w:sz w:val="24"/>
          <w:szCs w:val="24"/>
        </w:rPr>
        <w:t>长直尺检查，找平层与直尺间的空隙不得超过</w:t>
      </w:r>
      <w:r>
        <w:rPr>
          <w:rFonts w:ascii="宋体" w:hAnsi="宋体"/>
          <w:sz w:val="24"/>
          <w:szCs w:val="24"/>
        </w:rPr>
        <w:t>5mm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right="0" w:rightChars="0" w:firstLine="241" w:firstLineChars="100"/>
        <w:jc w:val="both"/>
        <w:textAlignment w:val="auto"/>
        <w:outlineLvl w:val="2"/>
        <w:rPr>
          <w:rFonts w:hint="eastAsia" w:ascii="宋体" w:hAnsi="宋体" w:eastAsia="宋体" w:cs="宋体"/>
          <w:b/>
          <w:sz w:val="24"/>
          <w:szCs w:val="24"/>
        </w:rPr>
      </w:pPr>
      <w:bookmarkStart w:id="10" w:name="_Toc10578"/>
      <w:bookmarkStart w:id="11" w:name="_Toc5464"/>
      <w:bookmarkStart w:id="12" w:name="_Toc7692"/>
      <w:bookmarkStart w:id="13" w:name="_Toc208"/>
      <w:bookmarkStart w:id="14" w:name="_Toc25488"/>
      <w:bookmarkStart w:id="15" w:name="_Toc19235"/>
      <w:bookmarkStart w:id="16" w:name="_Toc5515"/>
      <w:bookmarkStart w:id="17" w:name="_Toc19466"/>
      <w:bookmarkStart w:id="18" w:name="_Toc223756093"/>
      <w:bookmarkStart w:id="19" w:name="_Toc18018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sz w:val="24"/>
          <w:szCs w:val="24"/>
        </w:rPr>
        <w:t>技术及材料准备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4"/>
          <w:szCs w:val="24"/>
        </w:rPr>
        <w:t>.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>结合图纸及施工方案，针对工程细部节点认真研习，熟知具体步骤及相应做法。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bookmarkStart w:id="20" w:name="_Toc31632"/>
      <w:bookmarkStart w:id="21" w:name="_Toc23487"/>
      <w:bookmarkStart w:id="22" w:name="_Toc223756101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2.2</w:t>
      </w:r>
      <w:r>
        <w:rPr>
          <w:rFonts w:hint="eastAsia" w:ascii="宋体" w:hAnsi="宋体" w:eastAsia="宋体" w:cs="宋体"/>
          <w:kern w:val="0"/>
          <w:sz w:val="24"/>
          <w:szCs w:val="24"/>
        </w:rPr>
        <w:t>材料</w:t>
      </w:r>
      <w:bookmarkEnd w:id="20"/>
      <w:bookmarkEnd w:id="21"/>
      <w:bookmarkEnd w:id="22"/>
      <w:bookmarkStart w:id="23" w:name="_Toc223756102"/>
      <w:r>
        <w:rPr>
          <w:rFonts w:hint="eastAsia" w:ascii="宋体" w:hAnsi="宋体" w:eastAsia="宋体" w:cs="宋体"/>
          <w:kern w:val="0"/>
          <w:sz w:val="24"/>
          <w:szCs w:val="24"/>
        </w:rPr>
        <w:t>要求在阴凉通风处存放，材料宜立放，禁忌直接在日光下暴晒。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</w:p>
    <w:bookmarkEnd w:id="7"/>
    <w:bookmarkEnd w:id="8"/>
    <w:bookmarkEnd w:id="9"/>
    <w:bookmarkEnd w:id="23"/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bookmarkStart w:id="24" w:name="_Toc9518"/>
      <w:bookmarkStart w:id="25" w:name="_Toc525"/>
      <w:bookmarkStart w:id="26" w:name="_Toc8448"/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、施工准备</w:t>
      </w:r>
      <w:bookmarkEnd w:id="24"/>
      <w:bookmarkEnd w:id="25"/>
      <w:bookmarkEnd w:id="26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1" w:firstLineChars="100"/>
        <w:textAlignment w:val="auto"/>
        <w:outlineLvl w:val="2"/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  <w:t>1、材料准备</w:t>
      </w:r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1.1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进场材料应在阴凉通风处存放，卷材宜立放，高温、雨天应做好遮盖保护工作。</w:t>
      </w:r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2.1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材料进场时提供产品合格证、产品出场检测报告送至总包单位存档，同时进行现场三方（建设单位或总包单位、监理单位、施工单位）见证取样后送至专业检测机构检测复检，检测合格的材料方可使用。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1" w:firstLineChars="100"/>
        <w:textAlignment w:val="auto"/>
        <w:outlineLvl w:val="2"/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  <w:t>2、施工机具准备</w:t>
      </w:r>
    </w:p>
    <w:tbl>
      <w:tblPr>
        <w:tblStyle w:val="10"/>
        <w:tblW w:w="85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3647"/>
        <w:gridCol w:w="2138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66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工具名称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用途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0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基层清理工具</w:t>
            </w: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钢丝刷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节点清理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723900" cy="438150"/>
                  <wp:effectExtent l="0" t="0" r="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25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扫帚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基面垃圾清理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723900" cy="361950"/>
                  <wp:effectExtent l="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小平铲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基面浮浆清除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35000" cy="317500"/>
                  <wp:effectExtent l="0" t="0" r="12700" b="635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6" b="18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锤子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基面浮浆清除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742950" cy="450850"/>
                  <wp:effectExtent l="0" t="0" r="0" b="635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凿子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基面浮浆清除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38200" cy="419100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9" b="11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1020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施工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工具</w:t>
            </w: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电动搅拌器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搅拌水泥浆料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28650" cy="565150"/>
                  <wp:effectExtent l="0" t="0" r="0" b="635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3" b="17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拌浆桶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配制水泥浆料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66750" cy="59055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刮板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赶浆排气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12800" cy="482600"/>
                  <wp:effectExtent l="0" t="0" r="6350" b="1270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8" b="26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辊筒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刮涂水泥浆料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35000" cy="514350"/>
                  <wp:effectExtent l="0" t="0" r="1270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裁纸刀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 xml:space="preserve">  裁取卷材、</w:t>
            </w:r>
          </w:p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割隔离膜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63600" cy="520700"/>
                  <wp:effectExtent l="0" t="0" r="12700" b="1270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3" b="19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钢卷尺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定位、量取卷材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35000" cy="450850"/>
                  <wp:effectExtent l="0" t="0" r="12700" b="635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02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墨盒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定位弹线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571500" cy="457200"/>
                  <wp:effectExtent l="0" t="0" r="0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1020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防护</w:t>
            </w:r>
          </w:p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工具</w:t>
            </w: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安全帽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安全防护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584200" cy="438150"/>
                  <wp:effectExtent l="0" t="0" r="635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橡胶手套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安全防护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66750" cy="584200"/>
                  <wp:effectExtent l="0" t="0" r="0" b="635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安全带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安全防护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47700" cy="520700"/>
                  <wp:effectExtent l="0" t="0" r="0" b="1270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102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364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平底橡胶鞋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安全防护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698500" cy="478790"/>
                  <wp:effectExtent l="0" t="0" r="6350" b="1651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right="0" w:rightChars="0"/>
        <w:jc w:val="both"/>
        <w:textAlignment w:val="auto"/>
        <w:rPr>
          <w:rFonts w:hint="eastAsia" w:ascii="宋体" w:hAnsi="宋体" w:eastAsia="宋体" w:cs="宋体"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aps/>
          <w:color w:val="000000"/>
          <w:sz w:val="24"/>
          <w:szCs w:val="24"/>
          <w:lang w:val="en-US" w:eastAsia="zh-CN"/>
        </w:rPr>
        <w:t xml:space="preserve">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right="0" w:rightChars="0" w:firstLine="241" w:firstLineChars="100"/>
        <w:textAlignment w:val="auto"/>
        <w:outlineLvl w:val="2"/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  <w:t>3、人员准备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hAnsi="宋体" w:eastAsia="宋体" w:cs="宋体"/>
          <w:color w:val="000000"/>
          <w:kern w:val="0"/>
          <w:sz w:val="24"/>
          <w:szCs w:val="24"/>
          <w:lang w:val="en-US" w:eastAsia="zh-CN"/>
        </w:rPr>
        <w:t>3.1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根据工程量及工期要求，合理配备防水施工人员及班组数量，确保施工质量和工期如期完成。                                  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1"/>
        <w:gridCol w:w="533"/>
        <w:gridCol w:w="4995"/>
        <w:gridCol w:w="2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9428" w:type="dxa"/>
            <w:gridSpan w:val="4"/>
            <w:noWrap w:val="0"/>
            <w:vAlign w:val="center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 w:firstLine="60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人员分班、分工表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69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5528" w:type="dxa"/>
            <w:gridSpan w:val="2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工作内容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人员数量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69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胶浆工</w:t>
            </w:r>
          </w:p>
        </w:tc>
        <w:tc>
          <w:tcPr>
            <w:tcW w:w="533" w:type="dxa"/>
            <w:tcBorders>
              <w:righ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tcBorders>
              <w:lef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①胶浆稠度控制，胶浆拉丝状态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②均匀摊涂基面胶浆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69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卷材铺贴工</w:t>
            </w:r>
          </w:p>
        </w:tc>
        <w:tc>
          <w:tcPr>
            <w:tcW w:w="533" w:type="dxa"/>
            <w:tcBorders>
              <w:righ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tcBorders>
              <w:lef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卷材铺贴于涂好胶浆的基面上，拉抻对正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169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赶浆排气工</w:t>
            </w:r>
          </w:p>
        </w:tc>
        <w:tc>
          <w:tcPr>
            <w:tcW w:w="533" w:type="dxa"/>
            <w:tcBorders>
              <w:righ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tcBorders>
              <w:lef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卷材与基面间胶浆连续均匀排出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2224" w:type="dxa"/>
            <w:gridSpan w:val="2"/>
            <w:tcBorders>
              <w:righ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tcBorders>
              <w:left w:val="nil"/>
            </w:tcBorders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sz w:val="24"/>
                <w:szCs w:val="24"/>
              </w:rPr>
              <w:t>人员合计（每个班组人员数量保证）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000000"/>
                <w:sz w:val="28"/>
                <w:szCs w:val="28"/>
                <w:lang w:val="en-US" w:eastAsia="zh-CN"/>
              </w:rPr>
              <w:t>9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1" w:firstLineChars="100"/>
        <w:jc w:val="left"/>
        <w:textAlignment w:val="auto"/>
        <w:outlineLvl w:val="2"/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aps/>
          <w:color w:val="000000"/>
          <w:sz w:val="24"/>
          <w:szCs w:val="24"/>
        </w:rPr>
        <w:t>4、现场技术交底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4.1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防水施工前，由现场施工管控工程师或区域负责人对施工人员强化施工管控要点——①基层清洁及润湿、②施工前明水清理、③胶浆配比④、赶浆排气，并明确每一步在防水当中起到的作用。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4.2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结合施工现场，明确防水施工后浇带、变形缝等部位细部做法。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4.3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配备专业的现场技术人员，专业施工指导。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4.4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底板防水层规范规定可采用空铺法施工，本方案施工方式为湿铺垫层工艺。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spacing w:before="120" w:beforeLines="50" w:after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27" w:name="_Toc9267"/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五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屋面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防水施工工艺做法</w:t>
      </w:r>
      <w:bookmarkEnd w:id="27"/>
    </w:p>
    <w:p>
      <w:pPr>
        <w:widowControl w:val="0"/>
        <w:tabs>
          <w:tab w:val="left" w:pos="480"/>
          <w:tab w:val="left" w:pos="960"/>
        </w:tabs>
        <w:topLinePunct w:val="0"/>
        <w:adjustRightInd/>
        <w:snapToGrid/>
        <w:spacing w:line="38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卷材施工流程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基层清理→配制素水泥浆→细部节点加强处理→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试铺防水卷材</w:t>
      </w:r>
      <w:r>
        <w:rPr>
          <w:rFonts w:hint="eastAsia" w:ascii="宋体" w:hAnsi="宋体" w:eastAsia="宋体" w:cs="宋体"/>
          <w:sz w:val="24"/>
          <w:szCs w:val="24"/>
        </w:rPr>
        <w:t>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铺贴防水卷材</w:t>
      </w:r>
      <w:r>
        <w:rPr>
          <w:rFonts w:hint="eastAsia" w:ascii="宋体" w:hAnsi="宋体" w:eastAsia="宋体" w:cs="宋体"/>
          <w:sz w:val="24"/>
          <w:szCs w:val="24"/>
        </w:rPr>
        <w:t>→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zh-CN"/>
        </w:rPr>
        <w:t>赶浆排气</w:t>
      </w:r>
      <w:r>
        <w:rPr>
          <w:rFonts w:hint="eastAsia" w:ascii="宋体" w:hAnsi="宋体" w:eastAsia="宋体" w:cs="宋体"/>
          <w:sz w:val="24"/>
          <w:szCs w:val="24"/>
        </w:rPr>
        <w:t>→收口处理→质量检查、修补→验收→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做保护层。</w:t>
      </w:r>
    </w:p>
    <w:p>
      <w:pPr>
        <w:widowControl w:val="0"/>
        <w:tabs>
          <w:tab w:val="left" w:pos="480"/>
          <w:tab w:val="left" w:pos="960"/>
        </w:tabs>
        <w:topLinePunct w:val="0"/>
        <w:adjustRightInd/>
        <w:snapToGrid/>
        <w:spacing w:line="38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卷材施工要点及要求</w:t>
      </w:r>
      <w:bookmarkStart w:id="41" w:name="_GoBack"/>
      <w:bookmarkEnd w:id="41"/>
    </w:p>
    <w:p>
      <w:pPr>
        <w:pStyle w:val="4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（1）配制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水泥基渗透结晶泥</w:t>
      </w:r>
      <w:r>
        <w:rPr>
          <w:rFonts w:hint="eastAsia" w:ascii="宋体" w:hAnsi="宋体" w:eastAsia="宋体" w:cs="宋体"/>
          <w:sz w:val="24"/>
          <w:szCs w:val="24"/>
        </w:rPr>
        <w:t>浆：选用强度等级不低于42.5R级普通硅酸盐水泥，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渗透结晶“母料”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+水泥按1:5比例配置成“混合料”；配浆=混合料：水=1:0.5</w:t>
      </w:r>
      <w:r>
        <w:rPr>
          <w:rFonts w:hint="eastAsia" w:ascii="宋体" w:hAnsi="宋体" w:eastAsia="宋体" w:cs="宋体"/>
          <w:sz w:val="24"/>
          <w:szCs w:val="24"/>
        </w:rPr>
        <w:t>。素水泥浆应在施工全程随配随用。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bookmarkStart w:id="28" w:name="_Hlk494038939"/>
      <w:r>
        <w:rPr>
          <w:rFonts w:hint="eastAsia" w:ascii="宋体" w:hAnsi="宋体" w:eastAsia="宋体" w:cs="宋体"/>
          <w:sz w:val="24"/>
          <w:szCs w:val="24"/>
        </w:rPr>
        <w:t>（2）细部节点加强应按规范要求设置防水加强层或进行相应处理；阴阳角附加层宽度为500mm，沿阴角线或阳角线对称铺贴；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（3）试铺防水卷材：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观察卷材是否有设置边膜（用于与相邻卷材长边搭接），如卷材未设置边膜，需现场使用壁纸刀沿长边边沿80mm宽处裁划顺直底膜分割线；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根据搭接边位置确定卷材铺贴方向，在基层表面展铺卷材，释放卷材内部应力；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根据短边错缝搭接原则，按弹线位置或搭接控制线对卷材进行定位和裁切，相邻两幅卷材短边错开长度不小于1/3幅宽；</w:t>
      </w:r>
    </w:p>
    <w:p>
      <w:pPr>
        <w:tabs>
          <w:tab w:val="left" w:pos="480"/>
          <w:tab w:val="left" w:pos="960"/>
        </w:tabs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object>
          <v:shape id="_x0000_i1025" o:spt="75" type="#_x0000_t75" style="height:142.95pt;width:340.1pt;" o:ole="t" filled="f" o:preferrelative="t" stroked="f" coordsize="21600,21600">
            <v:path/>
            <v:fill on="f" focussize="0,0"/>
            <v:stroke on="f"/>
            <v:imagedata r:id="rId26" cropright="10488f" cropbottom="8630f" o:title=""/>
            <o:lock v:ext="edit" aspectratio="t"/>
            <w10:wrap type="none"/>
            <w10:anchorlock/>
          </v:shape>
          <o:OLEObject Type="Embed" ProgID="Acrobat.Document.11" ShapeID="_x0000_i1025" DrawAspect="Content" ObjectID="_1468075725" r:id="rId25">
            <o:LockedField>false</o:LockedField>
          </o:OLEObject>
        </w:objec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（4）铺贴防水卷材：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卷材铺贴由三位操作人员协作完成，操作内容包括：推滚卷材、撕膜、刮涂胶浆、搭接处理；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</w:rPr>
        <w:tab/>
      </w:r>
      <w:bookmarkStart w:id="29" w:name="_Hlk494039272"/>
      <w:r>
        <w:rPr>
          <w:rFonts w:hint="eastAsia" w:ascii="宋体" w:hAnsi="宋体" w:eastAsia="宋体" w:cs="宋体"/>
          <w:sz w:val="24"/>
          <w:szCs w:val="24"/>
        </w:rPr>
        <w:t>一人沿铺贴方向向前刮涂水泥胶浆，另外两人在后方两侧推动卷材向前滚动。其中，一侧操作人员边推滚边向后撕去卷材大面隔离底膜，另一侧操作人员根据相邻卷材搭接边控制搭接宽度和滚动路径，同时手压本幅卷材边膜保持其不位移；</w:t>
      </w:r>
      <w:bookmarkEnd w:id="29"/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刮涂水泥胶浆时，不得污染已铺设的加强层卷材，大面卷材应与加强卷材本体自粘；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待本幅卷材整体铺贴完毕后，再进行搭接处理。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（5）卷材搭接：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相邻卷材采用本体预留搭接边自粘搭接；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将本幅卷材边膜与相邻卷材搭接预留隔离膜分别反折，向外拉扯去除隔离膜；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操作人员手持小压辊，由内向外以垂直于卷材长边方向边压实边向前移动；</w:t>
      </w:r>
    </w:p>
    <w:p>
      <w:pPr>
        <w:pStyle w:val="4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如搭接面被污染失去粘性，应先擦拭干净，使用热风枪辅助加热至其恢复粘性后，再进行搭接；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压实排气：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与基层初步粘贴的卷材应进行压实、排气，以保证卷材与基层的紧密粘贴，防止空鼓。</w:t>
      </w:r>
    </w:p>
    <w:p>
      <w:pPr>
        <w:pStyle w:val="4"/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收口处理：</w:t>
      </w:r>
    </w:p>
    <w:p>
      <w:pPr>
        <w:pStyle w:val="4"/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大面卷材铺贴完毕后，应对卷材端头进行收口，收口处理应符合规范要求。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）质量检查：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整体施工完毕后，应对防水整体表观质量、搭接质量、局部节点处理等项目进行检查，如发现有质量缺陷，应立即修补。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合格验收：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确认合格并通过验收后，及时隐蔽，做好成品保护。</w:t>
      </w:r>
      <w:bookmarkEnd w:id="28"/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）做保护层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</w:t>
      </w:r>
    </w:p>
    <w:p>
      <w:pPr>
        <w:pStyle w:val="4"/>
        <w:ind w:left="0" w:leftChars="0"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屋面防水层上的细石混凝土保护层厚度不应小于40mm厚。</w:t>
      </w: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  <w:lang w:eastAsia="zh-CN"/>
        </w:rPr>
      </w:pPr>
      <w:bookmarkStart w:id="30" w:name="_Toc14559"/>
      <w:bookmarkStart w:id="31" w:name="_Toc20486"/>
      <w:bookmarkStart w:id="32" w:name="_Toc16992"/>
    </w:p>
    <w:p>
      <w:pPr>
        <w:rPr>
          <w:rFonts w:hint="eastAsia"/>
          <w:lang w:eastAsia="zh-CN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六</w:t>
      </w:r>
      <w:r>
        <w:rPr>
          <w:rFonts w:hint="eastAsia" w:ascii="宋体" w:hAnsi="宋体" w:eastAsia="宋体" w:cs="宋体"/>
          <w:sz w:val="24"/>
          <w:szCs w:val="24"/>
        </w:rPr>
        <w:t>、成品保护措施</w:t>
      </w:r>
      <w:bookmarkEnd w:id="30"/>
      <w:bookmarkEnd w:id="31"/>
      <w:bookmarkEnd w:id="32"/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bookmarkStart w:id="33" w:name="_Toc275347719"/>
      <w:bookmarkStart w:id="34" w:name="_Toc257297517"/>
      <w:bookmarkStart w:id="35" w:name="_Toc366067221"/>
      <w:bookmarkStart w:id="36" w:name="_Toc274918110"/>
      <w:bookmarkStart w:id="37" w:name="_Toc271717034"/>
      <w:r>
        <w:rPr>
          <w:rFonts w:hint="eastAsia" w:ascii="宋体" w:hAnsi="宋体" w:eastAsia="宋体" w:cs="宋体"/>
          <w:kern w:val="0"/>
          <w:sz w:val="24"/>
          <w:szCs w:val="24"/>
        </w:rPr>
        <w:t>1、卷材铺贴完成后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防水层未验收交接前</w:t>
      </w:r>
      <w:r>
        <w:rPr>
          <w:rFonts w:hint="eastAsia" w:ascii="宋体" w:hAnsi="宋体" w:eastAsia="宋体" w:cs="宋体"/>
          <w:kern w:val="0"/>
          <w:sz w:val="24"/>
          <w:szCs w:val="24"/>
        </w:rPr>
        <w:t>，现场做好警示隔离工作，严禁防水无关人员在防水层上行走踩踏。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2、在防水层的施工过程中，施工人员须穿软底鞋，严禁穿带钉子或尖锐突出的鞋进入现场，以免破坏防水层。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3、不得在已验收合格的防水层上打眼凿洞，所有预埋件均不得后凿、预埋件不得后做，如必须穿透防水层时，必须提前通知我方现场管理人员，以便提供合理的建议并进行及时的修补。</w:t>
      </w:r>
      <w:bookmarkEnd w:id="33"/>
      <w:bookmarkEnd w:id="34"/>
      <w:bookmarkEnd w:id="35"/>
      <w:bookmarkEnd w:id="36"/>
      <w:bookmarkEnd w:id="37"/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left"/>
        <w:textAlignment w:val="auto"/>
        <w:outlineLvl w:val="1"/>
        <w:rPr>
          <w:rFonts w:hint="eastAsia" w:ascii="宋体" w:hAnsi="宋体" w:eastAsia="宋体" w:cs="宋体"/>
          <w:b/>
          <w:kern w:val="28"/>
          <w:sz w:val="24"/>
          <w:szCs w:val="24"/>
        </w:rPr>
      </w:pPr>
      <w:bookmarkStart w:id="38" w:name="_Toc4187"/>
      <w:bookmarkStart w:id="39" w:name="_Toc10587"/>
      <w:bookmarkStart w:id="40" w:name="_Toc8352"/>
      <w:r>
        <w:rPr>
          <w:rFonts w:hint="eastAsia" w:ascii="宋体" w:hAnsi="宋体" w:eastAsia="宋体" w:cs="宋体"/>
          <w:b/>
          <w:kern w:val="28"/>
          <w:sz w:val="24"/>
          <w:szCs w:val="24"/>
          <w:lang w:eastAsia="zh-CN" w:bidi="ar"/>
        </w:rPr>
        <w:t>七</w:t>
      </w:r>
      <w:r>
        <w:rPr>
          <w:rFonts w:hint="eastAsia" w:ascii="宋体" w:hAnsi="宋体" w:eastAsia="宋体" w:cs="宋体"/>
          <w:b/>
          <w:kern w:val="28"/>
          <w:sz w:val="24"/>
          <w:szCs w:val="24"/>
          <w:lang w:bidi="ar"/>
        </w:rPr>
        <w:t>、安全文明施工措施</w:t>
      </w:r>
      <w:bookmarkEnd w:id="38"/>
      <w:bookmarkEnd w:id="39"/>
      <w:bookmarkEnd w:id="4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1、建立安全生产管理体系：项目经理为本工程项目安全生产、文明施工第一责任人， 技术负责人和安全员统一抓各项安全生产、文明施工管理措施的落实工作。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2、上岗前教育：对全体施工人员进行安全生产教育，考核合格后方可上岗，施工前进行安全技术交底。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3、正确使用安全“三宝”：进入施工现场统一着装，必须戴安全帽；高空作业必须系好安全带，安全带与固定物的拉结必须加强检查；建筑物的临边洞口处必须设置安全防护栏杆及警语牌。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4、防雨措施：设专人掌握气象信息，及时作出大风、大雨预报，采取相应技术措施，防止发生事故；禁止在台风、暴雨等恶劣的气候条件下进行室外施工。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5、遵章施工：遵守有关市容、场容管理制度，加强现场用水、排污的管理，做到场地整洁，搞好现场清洁卫生。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6、不在施工现场或其它设置有禁烟标志的场所内吸烟。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7、施工现场和施工建筑物内外不得随地大小便，现场内厕所保持清洁。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8、场地整齐：进入施工现场的各种机械设备、半成品、原材料等，均须按指定位置，堆放整齐，不得随意乱放，以保证道路畅通。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9、工完料清：对施工人员进行文明教育，做到谁做谁清，工完料清，场地干净。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24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10、做好劳动保护，合理安排作息时间，配备施工预备力量，控制现场噪音、粉尘，减少对周围环境的影响。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后附：GB/T 35467-2017 湿铺防水卷材标准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24" name="图片 24" descr="SCAN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AN02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23" name="图片 23" descr="SCAN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AN02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22" name="图片 22" descr="SCAN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AN02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20" name="图片 20" descr="SCAN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AN02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19" name="图片 19" descr="SCAN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AN02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18" name="图片 18" descr="SCAN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2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17" name="图片 17" descr="SCAN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2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16" name="图片 16" descr="SCAN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2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15" name="图片 15" descr="SCAN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2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9" name="图片 9" descr="SCAN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2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8" name="图片 8" descr="SCAN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2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7" name="图片 7" descr="SCAN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2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6" name="图片 6" descr="SCAN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2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5" name="图片 5" descr="SCAN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2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054725" cy="8554720"/>
            <wp:effectExtent l="0" t="0" r="3175" b="17780"/>
            <wp:docPr id="4" name="图片 4" descr="SCAN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2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right"/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辽宁东禹防水材料有限公司</w:t>
      </w:r>
    </w:p>
    <w:p>
      <w:pPr>
        <w:widowControl w:val="0"/>
        <w:numPr>
          <w:ilvl w:val="0"/>
          <w:numId w:val="0"/>
        </w:numPr>
        <w:spacing w:line="360" w:lineRule="auto"/>
        <w:jc w:val="right"/>
        <w:rPr>
          <w:rFonts w:hint="default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2020年4月27日</w:t>
      </w:r>
    </w:p>
    <w:sectPr>
      <w:footerReference r:id="rId5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nivers Light Condensed">
    <w:altName w:val="NumberOnly"/>
    <w:panose1 w:val="020B0406020202050204"/>
    <w:charset w:val="00"/>
    <w:family w:val="swiss"/>
    <w:pitch w:val="default"/>
    <w:sig w:usb0="00000000" w:usb1="00000000" w:usb2="00000000" w:usb3="00000000" w:csb0="00000093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Univers 47 Condensed Light">
    <w:altName w:val="Courier New"/>
    <w:panose1 w:val="00000000000000000000"/>
    <w:charset w:val="00"/>
    <w:family w:val="modern"/>
    <w:pitch w:val="default"/>
    <w:sig w:usb0="00000000" w:usb1="00000000" w:usb2="00000000" w:usb3="00000000" w:csb0="0000011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300980" cy="784860"/>
          <wp:effectExtent l="0" t="0" r="13970" b="15240"/>
          <wp:docPr id="12" name="图片 12" descr="1560306068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560306068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098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B4CE1"/>
    <w:multiLevelType w:val="multilevel"/>
    <w:tmpl w:val="2A3B4CE1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2411" w:firstLine="0"/>
      </w:pPr>
      <w:rPr>
        <w:rFonts w:hint="eastAsia"/>
        <w:b/>
        <w:sz w:val="28"/>
        <w:szCs w:val="28"/>
      </w:rPr>
    </w:lvl>
    <w:lvl w:ilvl="1" w:tentative="0">
      <w:start w:val="1"/>
      <w:numFmt w:val="decimal"/>
      <w:lvlText w:val="%2、"/>
      <w:lvlJc w:val="left"/>
      <w:pPr>
        <w:tabs>
          <w:tab w:val="left" w:pos="600"/>
        </w:tabs>
        <w:ind w:left="600" w:hanging="420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tabs>
          <w:tab w:val="left" w:pos="533"/>
        </w:tabs>
        <w:ind w:left="533" w:hanging="420"/>
      </w:pPr>
      <w:rPr>
        <w:rFonts w:hint="eastAsia"/>
        <w:b w:val="0"/>
      </w:rPr>
    </w:lvl>
    <w:lvl w:ilvl="3" w:tentative="0">
      <w:start w:val="1"/>
      <w:numFmt w:val="decimal"/>
      <w:suff w:val="space"/>
      <w:lvlText w:val="%4)"/>
      <w:lvlJc w:val="left"/>
      <w:pPr>
        <w:ind w:left="737" w:hanging="340"/>
      </w:pPr>
      <w:rPr>
        <w:rFonts w:hint="eastAsia"/>
        <w:b w:val="0"/>
        <w:shd w:val="clear" w:color="auto" w:fill="auto"/>
      </w:rPr>
    </w:lvl>
    <w:lvl w:ilvl="4" w:tentative="0">
      <w:start w:val="1"/>
      <w:numFmt w:val="lowerLetter"/>
      <w:suff w:val="space"/>
      <w:lvlText w:val="%5"/>
      <w:lvlJc w:val="left"/>
      <w:pPr>
        <w:ind w:left="851" w:hanging="227"/>
      </w:pPr>
      <w:rPr>
        <w:rFonts w:hint="eastAsia"/>
      </w:rPr>
    </w:lvl>
    <w:lvl w:ilvl="5" w:tentative="0">
      <w:start w:val="1"/>
      <w:numFmt w:val="bullet"/>
      <w:suff w:val="nothing"/>
      <w:lvlText w:val=""/>
      <w:lvlJc w:val="left"/>
      <w:pPr>
        <w:ind w:left="908" w:hanging="171"/>
      </w:pPr>
      <w:rPr>
        <w:rFonts w:hint="default" w:ascii="Symbol" w:hAnsi="Symbol"/>
        <w:color w:val="auto"/>
      </w:rPr>
    </w:lvl>
    <w:lvl w:ilvl="6" w:tentative="0">
      <w:start w:val="1"/>
      <w:numFmt w:val="none"/>
      <w:suff w:val="nothing"/>
      <w:lvlText w:val=""/>
      <w:lvlJc w:val="left"/>
      <w:pPr>
        <w:ind w:left="57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57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57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E1B6B"/>
    <w:rsid w:val="00E77A4B"/>
    <w:rsid w:val="01EC1A71"/>
    <w:rsid w:val="04650616"/>
    <w:rsid w:val="05724631"/>
    <w:rsid w:val="07F85616"/>
    <w:rsid w:val="0B6A4DB8"/>
    <w:rsid w:val="14B9624E"/>
    <w:rsid w:val="14CB5D64"/>
    <w:rsid w:val="195611DF"/>
    <w:rsid w:val="1FAF2484"/>
    <w:rsid w:val="236960BA"/>
    <w:rsid w:val="2BD833A7"/>
    <w:rsid w:val="32604C10"/>
    <w:rsid w:val="3345755A"/>
    <w:rsid w:val="384E1B6B"/>
    <w:rsid w:val="38D718DE"/>
    <w:rsid w:val="3D2D1BD2"/>
    <w:rsid w:val="407E48B4"/>
    <w:rsid w:val="409D3588"/>
    <w:rsid w:val="446D583E"/>
    <w:rsid w:val="472E4CBC"/>
    <w:rsid w:val="48772220"/>
    <w:rsid w:val="48E5458B"/>
    <w:rsid w:val="4A265262"/>
    <w:rsid w:val="5037366F"/>
    <w:rsid w:val="56BF2C73"/>
    <w:rsid w:val="5D5829D3"/>
    <w:rsid w:val="69A00A6A"/>
    <w:rsid w:val="6ADB591E"/>
    <w:rsid w:val="6D5316D4"/>
    <w:rsid w:val="6E28303E"/>
    <w:rsid w:val="7F945CF6"/>
    <w:rsid w:val="7FC9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jc w:val="center"/>
      <w:outlineLvl w:val="0"/>
    </w:pPr>
    <w:rPr>
      <w:rFonts w:ascii="Times New Roman" w:hAnsi="Times New Roman"/>
      <w:b/>
      <w:bCs/>
      <w:kern w:val="44"/>
      <w:sz w:val="28"/>
      <w:szCs w:val="44"/>
    </w:rPr>
  </w:style>
  <w:style w:type="paragraph" w:styleId="3">
    <w:name w:val="heading 2"/>
    <w:basedOn w:val="1"/>
    <w:next w:val="1"/>
    <w:uiPriority w:val="0"/>
    <w:pPr>
      <w:keepNext/>
      <w:widowControl/>
      <w:spacing w:before="240" w:beforeLines="0" w:after="60" w:afterLines="0" w:line="360" w:lineRule="auto"/>
      <w:jc w:val="left"/>
      <w:outlineLvl w:val="1"/>
    </w:pPr>
    <w:rPr>
      <w:rFonts w:ascii="Cambria" w:hAnsi="Cambria" w:eastAsia="宋体"/>
      <w:b/>
      <w:bCs/>
      <w:iCs/>
      <w:kern w:val="2"/>
      <w:sz w:val="28"/>
      <w:szCs w:val="28"/>
      <w:lang w:val="en-US" w:eastAsia="zh-CN" w:bidi="en-US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qFormat/>
    <w:uiPriority w:val="0"/>
    <w:pPr>
      <w:tabs>
        <w:tab w:val="left" w:pos="480"/>
        <w:tab w:val="left" w:pos="960"/>
      </w:tabs>
      <w:topLinePunct/>
      <w:adjustRightInd w:val="0"/>
      <w:snapToGrid w:val="0"/>
      <w:spacing w:line="360" w:lineRule="auto"/>
      <w:ind w:firstLine="200" w:firstLineChars="200"/>
      <w:jc w:val="both"/>
    </w:pPr>
    <w:rPr>
      <w:rFonts w:ascii="Univers Light Condensed" w:hAnsi="Univers Light Condensed" w:eastAsia="等线" w:cs="Times New Roman"/>
      <w:kern w:val="2"/>
      <w:sz w:val="24"/>
      <w:lang w:val="en-US" w:eastAsia="zh-CN" w:bidi="ar-SA"/>
    </w:rPr>
  </w:style>
  <w:style w:type="paragraph" w:styleId="5">
    <w:name w:val="Plain Text"/>
    <w:basedOn w:val="1"/>
    <w:qFormat/>
    <w:uiPriority w:val="0"/>
    <w:pPr>
      <w:spacing w:line="360" w:lineRule="auto"/>
    </w:pPr>
    <w:rPr>
      <w:rFonts w:ascii="宋体" w:hAnsi="Courier New"/>
      <w:szCs w:val="24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8">
    <w:name w:val="Subtitle"/>
    <w:basedOn w:val="1"/>
    <w:next w:val="1"/>
    <w:qFormat/>
    <w:uiPriority w:val="0"/>
    <w:pPr>
      <w:spacing w:before="240" w:beforeLines="0" w:after="60" w:afterLines="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  <w:lang w:bidi="ar-SA"/>
    </w:rPr>
  </w:style>
  <w:style w:type="paragraph" w:styleId="9">
    <w:name w:val="Normal (Web)"/>
    <w:basedOn w:val="1"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_Style 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5">
    <w:name w:val="_Style 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6">
    <w:name w:val="高银基坑正文"/>
    <w:basedOn w:val="1"/>
    <w:qFormat/>
    <w:uiPriority w:val="0"/>
    <w:pPr>
      <w:adjustRightInd w:val="0"/>
      <w:snapToGrid w:val="0"/>
      <w:spacing w:line="360" w:lineRule="auto"/>
      <w:ind w:firstLine="480" w:firstLineChars="200"/>
    </w:pPr>
    <w:rPr>
      <w:rFonts w:ascii="宋体" w:hAnsi="宋体" w:eastAsia="宋体"/>
      <w:kern w:val="2"/>
      <w:sz w:val="24"/>
      <w:szCs w:val="24"/>
      <w:lang w:val="en-US" w:eastAsia="zh-CN" w:bidi="ar-SA"/>
    </w:rPr>
  </w:style>
  <w:style w:type="paragraph" w:customStyle="1" w:styleId="17">
    <w:name w:val="无间隔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8">
    <w:name w:val="_Style 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emf"/><Relationship Id="rId25" Type="http://schemas.openxmlformats.org/officeDocument/2006/relationships/oleObject" Target="embeddings/oleObject1.bin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2019-06-12T02:01:00Z</dcterms:created>
  <dc:creator>陶Mr先生</dc:creator>
  <cp:lastModifiedBy>陶Mr先生</cp:lastModifiedBy>
  <cp:lastPrinted>2020-04-03T01:40:00Z</cp:lastPrinted>
  <dcterms:modified xsi:type="dcterms:W3CDTF">2020-04-27T05:30:46Z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